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43600" w:rsidRDefault="00CD36CF" w:rsidP="00CC1F3B">
      <w:pPr>
        <w:pStyle w:val="TitlePageOrigin"/>
        <w:rPr>
          <w:color w:val="auto"/>
        </w:rPr>
      </w:pPr>
      <w:r w:rsidRPr="00D43600">
        <w:rPr>
          <w:color w:val="auto"/>
        </w:rPr>
        <w:t>WEST virginia legislature</w:t>
      </w:r>
    </w:p>
    <w:p w14:paraId="446F25A9" w14:textId="4893B6B9" w:rsidR="00CD36CF" w:rsidRPr="00D43600" w:rsidRDefault="00CD36CF" w:rsidP="00CC1F3B">
      <w:pPr>
        <w:pStyle w:val="TitlePageSession"/>
        <w:rPr>
          <w:color w:val="auto"/>
        </w:rPr>
      </w:pPr>
      <w:r w:rsidRPr="00D43600">
        <w:rPr>
          <w:color w:val="auto"/>
        </w:rPr>
        <w:t>20</w:t>
      </w:r>
      <w:r w:rsidR="007F29DD" w:rsidRPr="00D43600">
        <w:rPr>
          <w:color w:val="auto"/>
        </w:rPr>
        <w:t>2</w:t>
      </w:r>
      <w:r w:rsidR="001143CA" w:rsidRPr="00D43600">
        <w:rPr>
          <w:color w:val="auto"/>
        </w:rPr>
        <w:t>1</w:t>
      </w:r>
      <w:r w:rsidRPr="00D43600">
        <w:rPr>
          <w:color w:val="auto"/>
        </w:rPr>
        <w:t xml:space="preserve"> regular session</w:t>
      </w:r>
    </w:p>
    <w:p w14:paraId="77049CE2" w14:textId="77777777" w:rsidR="00CD36CF" w:rsidRPr="00D43600" w:rsidRDefault="00447B0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43600">
            <w:rPr>
              <w:color w:val="auto"/>
            </w:rPr>
            <w:t>Introduced</w:t>
          </w:r>
        </w:sdtContent>
      </w:sdt>
    </w:p>
    <w:p w14:paraId="070377CD" w14:textId="657C2B10" w:rsidR="00CD36CF" w:rsidRPr="00D43600" w:rsidRDefault="00447B0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43600">
            <w:rPr>
              <w:color w:val="auto"/>
            </w:rPr>
            <w:t>House</w:t>
          </w:r>
        </w:sdtContent>
      </w:sdt>
      <w:r w:rsidR="00303684" w:rsidRPr="00D43600">
        <w:rPr>
          <w:color w:val="auto"/>
        </w:rPr>
        <w:t xml:space="preserve"> </w:t>
      </w:r>
      <w:r w:rsidR="00CD36CF" w:rsidRPr="00D4360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3218</w:t>
          </w:r>
        </w:sdtContent>
      </w:sdt>
    </w:p>
    <w:p w14:paraId="2B17A3F4" w14:textId="01E13D16" w:rsidR="00CD36CF" w:rsidRPr="00D43600" w:rsidRDefault="00CD36CF" w:rsidP="00CC1F3B">
      <w:pPr>
        <w:pStyle w:val="Sponsors"/>
        <w:rPr>
          <w:color w:val="auto"/>
        </w:rPr>
      </w:pPr>
      <w:r w:rsidRPr="00D43600">
        <w:rPr>
          <w:color w:val="auto"/>
        </w:rPr>
        <w:t xml:space="preserve">By </w:t>
      </w:r>
      <w:sdt>
        <w:sdtPr>
          <w:rPr>
            <w:color w:val="auto"/>
          </w:rPr>
          <w:tag w:val="Sponsors"/>
          <w:id w:val="1589585889"/>
          <w:placeholder>
            <w:docPart w:val="D3DF987F6921417FB42A59748B040B52"/>
          </w:placeholder>
          <w:text w:multiLine="1"/>
        </w:sdtPr>
        <w:sdtEndPr/>
        <w:sdtContent>
          <w:r w:rsidR="002C7D45" w:rsidRPr="00D43600">
            <w:rPr>
              <w:color w:val="auto"/>
            </w:rPr>
            <w:t>Delegate</w:t>
          </w:r>
          <w:r w:rsidR="00A22D12">
            <w:rPr>
              <w:color w:val="auto"/>
            </w:rPr>
            <w:t>s Hott and Westfall</w:t>
          </w:r>
        </w:sdtContent>
      </w:sdt>
    </w:p>
    <w:p w14:paraId="44F98F1F" w14:textId="241B0943" w:rsidR="00E831B3" w:rsidRPr="00D43600" w:rsidRDefault="00CD36CF" w:rsidP="00CC1F3B">
      <w:pPr>
        <w:pStyle w:val="References"/>
        <w:rPr>
          <w:color w:val="auto"/>
        </w:rPr>
      </w:pPr>
      <w:r w:rsidRPr="00D43600">
        <w:rPr>
          <w:color w:val="auto"/>
        </w:rPr>
        <w:t>[</w:t>
      </w:r>
      <w:sdt>
        <w:sdtPr>
          <w:rPr>
            <w:color w:val="auto"/>
          </w:rPr>
          <w:tag w:val="References"/>
          <w:id w:val="-1043047873"/>
          <w:placeholder>
            <w:docPart w:val="86D2588D5BE4435AB3D90589B95411FC"/>
          </w:placeholder>
          <w:text w:multiLine="1"/>
        </w:sdtPr>
        <w:sdtEndPr/>
        <w:sdtContent>
          <w:r w:rsidR="00447B0F">
            <w:rPr>
              <w:color w:val="auto"/>
            </w:rPr>
            <w:t>Introduced March 16, 2021; Referred to the Committee on the Judiciary</w:t>
          </w:r>
        </w:sdtContent>
      </w:sdt>
      <w:r w:rsidRPr="00D43600">
        <w:rPr>
          <w:color w:val="auto"/>
        </w:rPr>
        <w:t>]</w:t>
      </w:r>
    </w:p>
    <w:p w14:paraId="34F47D0B" w14:textId="175776AD" w:rsidR="00303684" w:rsidRPr="00D43600" w:rsidRDefault="0000526A" w:rsidP="00CC1F3B">
      <w:pPr>
        <w:pStyle w:val="TitleSection"/>
        <w:rPr>
          <w:color w:val="auto"/>
        </w:rPr>
      </w:pPr>
      <w:r w:rsidRPr="00D43600">
        <w:rPr>
          <w:color w:val="auto"/>
        </w:rPr>
        <w:lastRenderedPageBreak/>
        <w:t>A BILL</w:t>
      </w:r>
      <w:r w:rsidR="00DE4BD8" w:rsidRPr="00D43600">
        <w:rPr>
          <w:color w:val="auto"/>
        </w:rPr>
        <w:t xml:space="preserve"> to amend and reenact §23-4-2</w:t>
      </w:r>
      <w:r w:rsidR="0000738D" w:rsidRPr="00D43600">
        <w:rPr>
          <w:color w:val="auto"/>
        </w:rPr>
        <w:t xml:space="preserve"> of the Code of West Virginia, 1931, as amended, relating to eliminating the cause of action for deliberate intent for injuries that arise during the course of employment.</w:t>
      </w:r>
    </w:p>
    <w:p w14:paraId="4C462F5C" w14:textId="77777777" w:rsidR="00303684" w:rsidRPr="00D43600" w:rsidRDefault="00303684" w:rsidP="00CC1F3B">
      <w:pPr>
        <w:pStyle w:val="EnactingClause"/>
        <w:rPr>
          <w:color w:val="auto"/>
        </w:rPr>
      </w:pPr>
      <w:r w:rsidRPr="00D43600">
        <w:rPr>
          <w:color w:val="auto"/>
        </w:rPr>
        <w:t>Be it enacted by the Legislature of West Virginia:</w:t>
      </w:r>
    </w:p>
    <w:p w14:paraId="5E82C78E" w14:textId="77777777" w:rsidR="00F77F4C" w:rsidRPr="00D43600" w:rsidRDefault="00F77F4C" w:rsidP="00F77F4C">
      <w:pPr>
        <w:widowControl w:val="0"/>
        <w:suppressLineNumbers/>
        <w:ind w:left="720" w:hanging="720"/>
        <w:jc w:val="both"/>
        <w:outlineLvl w:val="1"/>
        <w:rPr>
          <w:rFonts w:eastAsia="Calibri"/>
          <w:b/>
          <w:caps/>
          <w:color w:val="auto"/>
          <w:sz w:val="24"/>
        </w:rPr>
        <w:sectPr w:rsidR="00F77F4C" w:rsidRPr="00D43600" w:rsidSect="002479C8">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D43600">
        <w:rPr>
          <w:rFonts w:eastAsia="Calibri"/>
          <w:b/>
          <w:caps/>
          <w:color w:val="auto"/>
          <w:sz w:val="24"/>
        </w:rPr>
        <w:t>ARTICLE 4. DISABILITY AND DEATH BENEFITS.</w:t>
      </w:r>
    </w:p>
    <w:p w14:paraId="6EA99922" w14:textId="77777777" w:rsidR="00F66296" w:rsidRPr="00D43600" w:rsidRDefault="00F66296" w:rsidP="00F66296">
      <w:pPr>
        <w:widowControl w:val="0"/>
        <w:suppressLineNumbers/>
        <w:ind w:left="720" w:hanging="720"/>
        <w:jc w:val="both"/>
        <w:outlineLvl w:val="3"/>
        <w:rPr>
          <w:rFonts w:eastAsia="Calibri" w:cs="Times New Roman"/>
          <w:b/>
          <w:color w:val="auto"/>
        </w:rPr>
      </w:pPr>
      <w:r w:rsidRPr="00D43600">
        <w:rPr>
          <w:rFonts w:eastAsia="Calibri" w:cs="Times New Roman"/>
          <w:b/>
          <w:color w:val="auto"/>
        </w:rPr>
        <w:t xml:space="preserve">§23-4-2. Disbursement where injury is self-inflicted or intentionally caused by employer; legislative declarations and findings; </w:t>
      </w:r>
      <w:r w:rsidRPr="00D43600">
        <w:rPr>
          <w:rFonts w:eastAsia="Calibri" w:cs="Times New Roman"/>
          <w:b/>
          <w:color w:val="auto"/>
        </w:rPr>
        <w:sym w:font="Arial" w:char="0022"/>
      </w:r>
      <w:r w:rsidRPr="00D43600">
        <w:rPr>
          <w:rFonts w:eastAsia="Calibri" w:cs="Times New Roman"/>
          <w:b/>
          <w:color w:val="auto"/>
        </w:rPr>
        <w:t>deliberate intention</w:t>
      </w:r>
      <w:r w:rsidRPr="00D43600">
        <w:rPr>
          <w:rFonts w:eastAsia="Calibri" w:cs="Times New Roman"/>
          <w:b/>
          <w:color w:val="auto"/>
        </w:rPr>
        <w:sym w:font="Arial" w:char="0022"/>
      </w:r>
      <w:r w:rsidRPr="00D43600">
        <w:rPr>
          <w:rFonts w:eastAsia="Calibri" w:cs="Times New Roman"/>
          <w:b/>
          <w:color w:val="auto"/>
        </w:rPr>
        <w:t xml:space="preserve"> defined.</w:t>
      </w:r>
    </w:p>
    <w:p w14:paraId="7B64A48F" w14:textId="77777777" w:rsidR="00F66296" w:rsidRPr="00D43600" w:rsidRDefault="00F66296" w:rsidP="00F66296">
      <w:pPr>
        <w:widowControl w:val="0"/>
        <w:ind w:firstLine="720"/>
        <w:jc w:val="both"/>
        <w:rPr>
          <w:rFonts w:eastAsia="Calibri" w:cs="Times New Roman"/>
          <w:color w:val="auto"/>
        </w:rPr>
      </w:pPr>
      <w:r w:rsidRPr="00D43600">
        <w:rPr>
          <w:rFonts w:eastAsia="Calibri" w:cs="Times New Roman"/>
          <w:color w:val="auto"/>
        </w:rPr>
        <w:t>(a)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w:t>
      </w:r>
      <w:r w:rsidRPr="00D43600">
        <w:rPr>
          <w:rFonts w:eastAsia="Calibri" w:cs="Times New Roman"/>
          <w:color w:val="auto"/>
        </w:rPr>
        <w:sym w:font="Arial" w:char="0027"/>
      </w:r>
      <w:r w:rsidRPr="00D43600">
        <w:rPr>
          <w:rFonts w:eastAsia="Calibri" w:cs="Times New Roman"/>
          <w:color w:val="auto"/>
        </w:rPr>
        <w:t xml:space="preserve">s employment, the employer may require the employee to undergo a blood test for the purpose of determining the existence or nonexistence of evidence of intoxication: </w:t>
      </w:r>
      <w:r w:rsidRPr="00D43600">
        <w:rPr>
          <w:rFonts w:eastAsia="Calibri" w:cs="Times New Roman"/>
          <w:i/>
          <w:iCs/>
          <w:color w:val="auto"/>
        </w:rPr>
        <w:t>Provided,</w:t>
      </w:r>
      <w:r w:rsidRPr="00D43600">
        <w:rPr>
          <w:rFonts w:eastAsia="Calibri" w:cs="Times New Roman"/>
          <w:color w:val="auto"/>
        </w:rPr>
        <w:t xml:space="preserve"> That the employer must have a reasonable and good faith objective suspicion of the employee</w:t>
      </w:r>
      <w:r w:rsidRPr="00D43600">
        <w:rPr>
          <w:rFonts w:eastAsia="Calibri" w:cs="Times New Roman"/>
          <w:color w:val="auto"/>
        </w:rPr>
        <w:sym w:font="Arial" w:char="0027"/>
      </w:r>
      <w:r w:rsidRPr="00D43600">
        <w:rPr>
          <w:rFonts w:eastAsia="Calibri" w:cs="Times New Roman"/>
          <w:color w:val="auto"/>
        </w:rPr>
        <w:t>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5F0A01DA" w14:textId="77777777" w:rsidR="00F66296" w:rsidRPr="00D43600" w:rsidRDefault="00F66296" w:rsidP="00F66296">
      <w:pPr>
        <w:widowControl w:val="0"/>
        <w:ind w:firstLine="720"/>
        <w:jc w:val="both"/>
        <w:rPr>
          <w:rFonts w:eastAsia="Calibri" w:cs="Times New Roman"/>
          <w:color w:val="auto"/>
        </w:rPr>
      </w:pPr>
      <w:r w:rsidRPr="00D43600">
        <w:rPr>
          <w:rFonts w:eastAsia="Calibri" w:cs="Times New Roman"/>
          <w:color w:val="auto"/>
        </w:rPr>
        <w:t>(1) If a blood test is administered within two hours of the accident and evidence that there was, at that time, more than five hundredths of one percent, by weight, of alcohol in the employee</w:t>
      </w:r>
      <w:r w:rsidRPr="00D43600">
        <w:rPr>
          <w:rFonts w:eastAsia="Calibri" w:cs="Times New Roman"/>
          <w:color w:val="auto"/>
        </w:rPr>
        <w:sym w:font="Arial" w:char="0027"/>
      </w:r>
      <w:r w:rsidRPr="00D43600">
        <w:rPr>
          <w:rFonts w:eastAsia="Calibri" w:cs="Times New Roman"/>
          <w:color w:val="auto"/>
        </w:rPr>
        <w:t>s blood; or</w:t>
      </w:r>
    </w:p>
    <w:p w14:paraId="1DF5E46F" w14:textId="77777777" w:rsidR="00F66296" w:rsidRPr="00D43600" w:rsidRDefault="00F66296" w:rsidP="00F66296">
      <w:pPr>
        <w:widowControl w:val="0"/>
        <w:ind w:firstLine="720"/>
        <w:jc w:val="both"/>
        <w:rPr>
          <w:rFonts w:eastAsia="Calibri" w:cs="Times New Roman"/>
          <w:color w:val="auto"/>
        </w:rPr>
      </w:pPr>
      <w:r w:rsidRPr="00D43600">
        <w:rPr>
          <w:rFonts w:eastAsia="Calibri" w:cs="Times New Roman"/>
          <w:color w:val="auto"/>
        </w:rPr>
        <w:t xml:space="preserve">(2) If there was, at the time of the blood test, evidence of either on or off the job use of a nonprescribed controlled substance as defined in the West Virginia Uniform Controlled Substances Act, West Virginia Code §60A-2-201, </w:t>
      </w:r>
      <w:r w:rsidRPr="00D43600">
        <w:rPr>
          <w:rFonts w:eastAsia="Calibri" w:cs="Times New Roman"/>
          <w:i/>
          <w:iCs/>
          <w:color w:val="auto"/>
        </w:rPr>
        <w:t>et seq</w:t>
      </w:r>
      <w:r w:rsidRPr="00D43600">
        <w:rPr>
          <w:rFonts w:eastAsia="Calibri" w:cs="Times New Roman"/>
          <w:color w:val="auto"/>
        </w:rPr>
        <w:t>., Schedules I, II, III, IV and V.</w:t>
      </w:r>
    </w:p>
    <w:p w14:paraId="7D4940CD" w14:textId="77777777" w:rsidR="00F66296" w:rsidRPr="00D43600" w:rsidRDefault="00F66296" w:rsidP="00F66296">
      <w:pPr>
        <w:widowControl w:val="0"/>
        <w:ind w:firstLine="720"/>
        <w:jc w:val="both"/>
        <w:rPr>
          <w:rFonts w:eastAsia="Calibri" w:cs="Times New Roman"/>
          <w:color w:val="auto"/>
        </w:rPr>
      </w:pPr>
      <w:r w:rsidRPr="00D43600">
        <w:rPr>
          <w:rFonts w:eastAsia="Calibri" w:cs="Times New Roman"/>
          <w:color w:val="auto"/>
        </w:rPr>
        <w:t>(b) For the purpose of this chapter, the commission may cooperate with the Office of Miners</w:t>
      </w:r>
      <w:r w:rsidRPr="00D43600">
        <w:rPr>
          <w:rFonts w:eastAsia="Calibri" w:cs="Times New Roman"/>
          <w:color w:val="auto"/>
        </w:rPr>
        <w:sym w:font="Arial" w:char="0027"/>
      </w:r>
      <w:r w:rsidRPr="00D43600">
        <w:rPr>
          <w:rFonts w:eastAsia="Calibri" w:cs="Times New Roman"/>
          <w:color w:val="auto"/>
        </w:rPr>
        <w:t xml:space="preserve"> Health, Safety and Training and the State Division of Labor in promoting general safety programs and in formulating rules to govern hazardous employments.</w:t>
      </w:r>
    </w:p>
    <w:p w14:paraId="7E47E770" w14:textId="77777777" w:rsidR="00F66296" w:rsidRPr="00D43600" w:rsidRDefault="00F66296" w:rsidP="00F66296">
      <w:pPr>
        <w:widowControl w:val="0"/>
        <w:ind w:firstLine="720"/>
        <w:jc w:val="both"/>
        <w:rPr>
          <w:rFonts w:eastAsia="Calibri" w:cs="Times New Roman"/>
          <w:color w:val="auto"/>
        </w:rPr>
      </w:pPr>
      <w:r w:rsidRPr="00D43600">
        <w:rPr>
          <w:rFonts w:eastAsia="Calibri" w:cs="Times New Roman"/>
          <w:color w:val="auto"/>
        </w:rPr>
        <w:t>(c)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Pr="00D43600">
        <w:rPr>
          <w:rFonts w:eastAsia="Calibri" w:cs="Times New Roman"/>
          <w:color w:val="auto"/>
        </w:rPr>
        <w:sym w:font="Arial" w:char="0027"/>
      </w:r>
      <w:r w:rsidRPr="00D43600">
        <w:rPr>
          <w:rFonts w:eastAsia="Calibri" w:cs="Times New Roman"/>
          <w:color w:val="auto"/>
        </w:rPr>
        <w:t>s representative or dependent, as defined under this chapter, must, unless good cause is shown, have filed a claim for benefits under this chapter.</w:t>
      </w:r>
    </w:p>
    <w:p w14:paraId="2786B457" w14:textId="61F8A437" w:rsidR="00F66296" w:rsidRPr="00D43600" w:rsidRDefault="00F66296" w:rsidP="00F66296">
      <w:pPr>
        <w:widowControl w:val="0"/>
        <w:ind w:firstLine="720"/>
        <w:jc w:val="both"/>
        <w:rPr>
          <w:rFonts w:eastAsia="Calibri" w:cs="Times New Roman"/>
          <w:color w:val="auto"/>
        </w:rPr>
      </w:pPr>
      <w:r w:rsidRPr="00D43600">
        <w:rPr>
          <w:rFonts w:eastAsia="Calibri" w:cs="Times New Roman"/>
          <w:color w:val="auto"/>
        </w:rPr>
        <w:t>(d)(1) It is declared that enactment of this chapter and the establishment of the workers</w:t>
      </w:r>
      <w:r w:rsidRPr="00D43600">
        <w:rPr>
          <w:rFonts w:eastAsia="Calibri" w:cs="Times New Roman"/>
          <w:color w:val="auto"/>
        </w:rPr>
        <w:sym w:font="Arial" w:char="0027"/>
      </w:r>
      <w:r w:rsidRPr="00D43600">
        <w:rPr>
          <w:rFonts w:eastAsia="Calibri" w:cs="Times New Roman"/>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w:t>
      </w:r>
      <w:bookmarkStart w:id="0" w:name="_Hlk66348817"/>
      <w:r w:rsidR="00E62EDA" w:rsidRPr="00D43600">
        <w:rPr>
          <w:rFonts w:eastAsia="Calibri" w:cs="Times New Roman"/>
          <w:color w:val="auto"/>
        </w:rPr>
        <w:t>§23-2-6 and §23-2-6A of this code</w:t>
      </w:r>
      <w:bookmarkEnd w:id="0"/>
      <w:r w:rsidR="00E62EDA" w:rsidRPr="00D43600">
        <w:rPr>
          <w:rFonts w:eastAsia="Calibri" w:cs="Times New Roman"/>
          <w:color w:val="auto"/>
        </w:rPr>
        <w:t xml:space="preserve"> </w:t>
      </w:r>
      <w:r w:rsidRPr="00D43600">
        <w:rPr>
          <w:rFonts w:eastAsia="Calibri" w:cs="Times New Roman"/>
          <w:color w:val="auto"/>
        </w:rPr>
        <w:t>is an essential aspect of this workers</w:t>
      </w:r>
      <w:r w:rsidRPr="00D43600">
        <w:rPr>
          <w:rFonts w:eastAsia="Calibri" w:cs="Times New Roman"/>
          <w:color w:val="auto"/>
        </w:rPr>
        <w:sym w:font="Arial" w:char="0027"/>
      </w:r>
      <w:r w:rsidRPr="00D43600">
        <w:rPr>
          <w:rFonts w:eastAsia="Calibri" w:cs="Times New Roman"/>
          <w:color w:val="auto"/>
        </w:rPr>
        <w:t xml:space="preserve"> compensation system; that the intent of the Legislature in providing immunity from common lawsuit was and is to protect those immunized from litigation outside the workers</w:t>
      </w:r>
      <w:r w:rsidRPr="00D43600">
        <w:rPr>
          <w:rFonts w:eastAsia="Calibri" w:cs="Times New Roman"/>
          <w:color w:val="auto"/>
        </w:rPr>
        <w:sym w:font="Arial" w:char="0027"/>
      </w:r>
      <w:r w:rsidRPr="00D43600">
        <w:rPr>
          <w:rFonts w:eastAsia="Calibri" w:cs="Times New Roman"/>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75C142CC" w14:textId="5AC4F1A6"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color w:val="auto"/>
        </w:rPr>
        <w:t xml:space="preserve">(2) The immunity from suit provided under this section and under </w:t>
      </w:r>
      <w:r w:rsidR="00E62EDA" w:rsidRPr="00D43600">
        <w:rPr>
          <w:rFonts w:eastAsia="Calibri" w:cs="Times New Roman"/>
          <w:color w:val="auto"/>
        </w:rPr>
        <w:t>§23-2-6 and §23-2-6A of this code</w:t>
      </w:r>
      <w:r w:rsidRPr="00D43600">
        <w:rPr>
          <w:rFonts w:eastAsia="Calibri" w:cs="Times New Roman"/>
          <w:color w:val="auto"/>
        </w:rPr>
        <w:t xml:space="preserve"> may be lost only if the employer or person against whom liability is asserted acted with </w:t>
      </w:r>
      <w:r w:rsidRPr="00D43600">
        <w:rPr>
          <w:rFonts w:eastAsia="Calibri" w:cs="Times New Roman"/>
          <w:color w:val="auto"/>
        </w:rPr>
        <w:sym w:font="Arial" w:char="0022"/>
      </w:r>
      <w:r w:rsidRPr="00D43600">
        <w:rPr>
          <w:rFonts w:eastAsia="Calibri" w:cs="Times New Roman"/>
          <w:color w:val="auto"/>
        </w:rPr>
        <w:t>deliberate intention</w:t>
      </w:r>
      <w:r w:rsidRPr="00D43600">
        <w:rPr>
          <w:rFonts w:eastAsia="Calibri" w:cs="Times New Roman"/>
          <w:color w:val="auto"/>
        </w:rPr>
        <w:sym w:font="Arial" w:char="0022"/>
      </w:r>
      <w:r w:rsidRPr="00D43600">
        <w:rPr>
          <w:rFonts w:eastAsia="Calibri" w:cs="Times New Roman"/>
          <w:color w:val="auto"/>
        </w:rPr>
        <w:t xml:space="preserve">. This requirement </w:t>
      </w:r>
      <w:r w:rsidRPr="00D43600">
        <w:rPr>
          <w:rFonts w:eastAsia="Calibri" w:cs="Times New Roman"/>
          <w:strike/>
          <w:color w:val="auto"/>
        </w:rPr>
        <w:t>may</w:t>
      </w:r>
      <w:r w:rsidRPr="00D43600">
        <w:rPr>
          <w:rFonts w:eastAsia="Calibri" w:cs="Times New Roman"/>
          <w:color w:val="auto"/>
        </w:rPr>
        <w:t xml:space="preserve"> be satisfied only if</w:t>
      </w:r>
    </w:p>
    <w:p w14:paraId="122C7A1B" w14:textId="148A63F5" w:rsidR="00F66296" w:rsidRPr="00D43600" w:rsidRDefault="00F66296" w:rsidP="00F66296">
      <w:pPr>
        <w:widowControl w:val="0"/>
        <w:ind w:firstLine="720"/>
        <w:jc w:val="both"/>
        <w:rPr>
          <w:rFonts w:eastAsia="Calibri" w:cs="Times New Roman"/>
          <w:color w:val="auto"/>
          <w:u w:val="single"/>
        </w:rPr>
      </w:pPr>
      <w:r w:rsidRPr="00D43600">
        <w:rPr>
          <w:rFonts w:eastAsia="Calibri" w:cs="Times New Roman"/>
          <w:strike/>
          <w:color w:val="auto"/>
        </w:rPr>
        <w:t>(A) It</w:t>
      </w:r>
      <w:r w:rsidRPr="00D43600">
        <w:rPr>
          <w:rFonts w:eastAsia="Calibri" w:cs="Times New Roman"/>
          <w:color w:val="auto"/>
        </w:rPr>
        <w:t xml:space="preserve"> </w:t>
      </w:r>
      <w:r w:rsidR="00525662" w:rsidRPr="00D43600">
        <w:rPr>
          <w:rFonts w:eastAsia="Calibri" w:cs="Times New Roman"/>
          <w:color w:val="auto"/>
        </w:rPr>
        <w:t xml:space="preserve">it </w:t>
      </w:r>
      <w:r w:rsidRPr="00D43600">
        <w:rPr>
          <w:rFonts w:eastAsia="Calibri" w:cs="Times New Roman"/>
          <w:color w:val="auto"/>
        </w:rPr>
        <w:t>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w:t>
      </w:r>
      <w:r w:rsidR="00525662" w:rsidRPr="00D43600">
        <w:rPr>
          <w:rFonts w:eastAsia="Calibri" w:cs="Times New Roman"/>
          <w:color w:val="auto"/>
        </w:rPr>
        <w:t>.</w:t>
      </w:r>
      <w:r w:rsidRPr="00D43600">
        <w:rPr>
          <w:rFonts w:eastAsia="Calibri" w:cs="Times New Roman"/>
          <w:color w:val="auto"/>
        </w:rPr>
        <w:t xml:space="preserve"> </w:t>
      </w:r>
      <w:r w:rsidRPr="00D43600">
        <w:rPr>
          <w:rFonts w:eastAsia="Calibri" w:cs="Times New Roman"/>
          <w:strike/>
          <w:color w:val="auto"/>
        </w:rPr>
        <w:t>or</w:t>
      </w:r>
    </w:p>
    <w:p w14:paraId="4F552A29"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(B) The trier of fact determines, either through specific findings of fact made by the court in a trial without a jury, or through special interrogatories to the jury in a jury trial, that all of the following facts are proven:</w:t>
      </w:r>
    </w:p>
    <w:p w14:paraId="113F4442"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 That a specific unsafe working condition existed in the workplace which presented a high degree of risk and a strong probability of serious injury or death;</w:t>
      </w:r>
    </w:p>
    <w:p w14:paraId="432A57E4"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4A7A9D58"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 xml:space="preserve">(I) In every case actual knowledge must specifically be proven by the employee or other person(s) seeking to recover under this section, and shall not be deemed or presumed: </w:t>
      </w:r>
      <w:r w:rsidRPr="00D43600">
        <w:rPr>
          <w:rFonts w:eastAsia="Calibri" w:cs="Times New Roman"/>
          <w:i/>
          <w:iCs/>
          <w:strike/>
          <w:color w:val="auto"/>
        </w:rPr>
        <w:t xml:space="preserve">Provided, </w:t>
      </w:r>
      <w:r w:rsidRPr="00D43600">
        <w:rPr>
          <w:rFonts w:eastAsia="Calibri" w:cs="Times New Roman"/>
          <w:strike/>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5CF318CD"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 Actual knowledge is not established by proof of what an employee</w:t>
      </w:r>
      <w:r w:rsidRPr="00D43600">
        <w:rPr>
          <w:rFonts w:eastAsia="Calibri" w:cs="Times New Roman"/>
          <w:strike/>
          <w:color w:val="auto"/>
        </w:rPr>
        <w:sym w:font="Arial" w:char="0027"/>
      </w:r>
      <w:r w:rsidRPr="00D43600">
        <w:rPr>
          <w:rFonts w:eastAsia="Calibri" w:cs="Times New Roman"/>
          <w:strike/>
          <w:color w:val="auto"/>
        </w:rPr>
        <w:t>s immediate supervisor or management personnel should have known had they exercised reasonable care or been more diligent.</w:t>
      </w:r>
    </w:p>
    <w:p w14:paraId="750B5686"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(III) Any proof of the immediate supervisor or management personnel</w:t>
      </w:r>
      <w:r w:rsidRPr="00D43600">
        <w:rPr>
          <w:rFonts w:eastAsia="Calibri" w:cs="Times New Roman"/>
          <w:strike/>
          <w:color w:val="auto"/>
        </w:rPr>
        <w:sym w:font="Arial" w:char="0027"/>
      </w:r>
      <w:r w:rsidRPr="00D43600">
        <w:rPr>
          <w:rFonts w:eastAsia="Calibri" w:cs="Times New Roman"/>
          <w:strike/>
          <w:color w:val="auto"/>
        </w:rPr>
        <w:t>s knowledge of prior accidents, near misses, safety complaints or citations from regulatory agencies must be proven by documentary or other credible evidence.</w:t>
      </w:r>
    </w:p>
    <w:p w14:paraId="4F033BA7"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4A1461F0"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D43600">
        <w:rPr>
          <w:rFonts w:eastAsia="Calibri" w:cs="Times New Roman"/>
          <w:i/>
          <w:iCs/>
          <w:strike/>
          <w:color w:val="auto"/>
        </w:rPr>
        <w:t xml:space="preserve"> Provided, </w:t>
      </w:r>
      <w:r w:rsidRPr="00D43600">
        <w:rPr>
          <w:rFonts w:eastAsia="Calibri" w:cs="Times New Roman"/>
          <w:strike/>
          <w:color w:val="auto"/>
        </w:rPr>
        <w:t>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0AFE2016"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 If the specific unsafe working condition relates to a violation of a state or federal safety statute, rule or regulation that statute, rule or regulation:</w:t>
      </w:r>
    </w:p>
    <w:p w14:paraId="5221B50C"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(a) Must be specifically applicable to the work and working condition involved as contrasted with a statute, rule, regulation or standard generally requiring safe workplaces, equipment or working conditions;</w:t>
      </w:r>
    </w:p>
    <w:p w14:paraId="722B6B04"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 xml:space="preserve">(b) Must be intended to address the specific hazard(s) presented by the alleged specific unsafe working condition; and, </w:t>
      </w:r>
    </w:p>
    <w:p w14:paraId="06B57A9B"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(c) The applicability of any such state or federal safety statute, rule or regulation is a matter of law for judicial determination.</w:t>
      </w:r>
    </w:p>
    <w:p w14:paraId="7B2D536A"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14E5F1D0"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547A660B"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 It is shown that the injury, independent of any preexisting impairment:</w:t>
      </w:r>
    </w:p>
    <w:p w14:paraId="76A997A6"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632BAB78"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1D5E17A7"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3DBE1B37"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D43600">
        <w:rPr>
          <w:rFonts w:eastAsia="Calibri" w:cs="Times New Roman"/>
          <w:i/>
          <w:iCs/>
          <w:strike/>
          <w:color w:val="auto"/>
        </w:rPr>
        <w:t>b</w:t>
      </w:r>
      <w:r w:rsidRPr="00D43600">
        <w:rPr>
          <w:rFonts w:eastAsia="Calibri" w:cs="Times New Roman"/>
          <w:strike/>
          <w:color w:val="auto"/>
        </w:rPr>
        <w:t>).</w:t>
      </w:r>
    </w:p>
    <w:p w14:paraId="4126D3A3"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D43600">
        <w:rPr>
          <w:rFonts w:eastAsia="Calibri" w:cs="Times New Roman"/>
          <w:i/>
          <w:iCs/>
          <w:strike/>
          <w:color w:val="auto"/>
        </w:rPr>
        <w:t>Provided</w:t>
      </w:r>
      <w:r w:rsidRPr="00D43600">
        <w:rPr>
          <w:rFonts w:eastAsia="Calibri" w:cs="Times New Roman"/>
          <w:strike/>
          <w:color w:val="auto"/>
        </w:rPr>
        <w:t>, That any cause of action based upon this clause must be filed within one year of the date the employee meets the requirements of the same.</w:t>
      </w:r>
    </w:p>
    <w:p w14:paraId="0991F912"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(C) In cases alleging liability under the provisions of paragraph (B) of this subdivision:</w:t>
      </w:r>
    </w:p>
    <w:p w14:paraId="400CEDBF"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 The employee, the employee</w:t>
      </w:r>
      <w:r w:rsidRPr="00D43600">
        <w:rPr>
          <w:rFonts w:eastAsia="Calibri" w:cs="Times New Roman"/>
          <w:strike/>
          <w:color w:val="auto"/>
        </w:rPr>
        <w:sym w:font="Arial" w:char="0027"/>
      </w:r>
      <w:r w:rsidRPr="00D43600">
        <w:rPr>
          <w:rFonts w:eastAsia="Calibri" w:cs="Times New Roman"/>
          <w:strike/>
          <w:color w:val="auto"/>
        </w:rPr>
        <w:t>s guardian or conservator, or the representative of the employee</w:t>
      </w:r>
      <w:r w:rsidRPr="00D43600">
        <w:rPr>
          <w:rFonts w:eastAsia="Calibri" w:cs="Times New Roman"/>
          <w:strike/>
          <w:color w:val="auto"/>
        </w:rPr>
        <w:sym w:font="Arial" w:char="0027"/>
      </w:r>
      <w:r w:rsidRPr="00D43600">
        <w:rPr>
          <w:rFonts w:eastAsia="Calibri" w:cs="Times New Roman"/>
          <w:strike/>
          <w:color w:val="auto"/>
        </w:rPr>
        <w:t>s estate shall serve with the complaint a verified statement from a person with knowledge and expertise of the workplace safety statutes, rules, regulations and consensus industry safety standards specifically applicable to the industry and workplace involved in the employee</w:t>
      </w:r>
      <w:r w:rsidRPr="00D43600">
        <w:rPr>
          <w:rFonts w:eastAsia="Calibri" w:cs="Times New Roman"/>
          <w:strike/>
          <w:color w:val="auto"/>
        </w:rPr>
        <w:sym w:font="Arial" w:char="0027"/>
      </w:r>
      <w:r w:rsidRPr="00D43600">
        <w:rPr>
          <w:rFonts w:eastAsia="Calibri" w:cs="Times New Roman"/>
          <w:strike/>
          <w:color w:val="auto"/>
        </w:rPr>
        <w:t>s injury, setting forth opinions and information on:</w:t>
      </w:r>
    </w:p>
    <w:p w14:paraId="4B0999CB"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 The person</w:t>
      </w:r>
      <w:r w:rsidRPr="00D43600">
        <w:rPr>
          <w:rFonts w:eastAsia="Calibri" w:cs="Times New Roman"/>
          <w:strike/>
          <w:color w:val="auto"/>
        </w:rPr>
        <w:sym w:font="Arial" w:char="0027"/>
      </w:r>
      <w:r w:rsidRPr="00D43600">
        <w:rPr>
          <w:rFonts w:eastAsia="Calibri" w:cs="Times New Roman"/>
          <w:strike/>
          <w:color w:val="auto"/>
        </w:rPr>
        <w:t>s knowledge and expertise of the applicable workplace safety statutes, rules, regulations and/or written consensus industry safety standards;</w:t>
      </w:r>
    </w:p>
    <w:p w14:paraId="4A5DDFAE"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 The specific unsafe working condition(s) that were the cause of the injury that is the basis of the complaint; and</w:t>
      </w:r>
    </w:p>
    <w:p w14:paraId="0E5AF560"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 xml:space="preserve">(III) The specific statutes, rules, regulations or written consensus industry safety standards violated by the employer that are directly related to the specific unsafe working conditions: </w:t>
      </w:r>
      <w:r w:rsidRPr="00D43600">
        <w:rPr>
          <w:rFonts w:eastAsia="Calibri" w:cs="Times New Roman"/>
          <w:i/>
          <w:iCs/>
          <w:strike/>
          <w:color w:val="auto"/>
        </w:rPr>
        <w:t>Provided, however,</w:t>
      </w:r>
      <w:r w:rsidRPr="00D43600">
        <w:rPr>
          <w:rFonts w:eastAsia="Calibri" w:cs="Times New Roman"/>
          <w:strike/>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52840B36"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 No punitive or exemplary damages shall be awarded to the employee or other plaintiff;</w:t>
      </w:r>
    </w:p>
    <w:p w14:paraId="2EAEFE52"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0A5F5241"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05E33F83" w14:textId="77777777" w:rsidR="00F66296" w:rsidRPr="00D43600" w:rsidRDefault="00F66296" w:rsidP="00F66296">
      <w:pPr>
        <w:widowControl w:val="0"/>
        <w:ind w:firstLine="720"/>
        <w:jc w:val="both"/>
        <w:rPr>
          <w:rFonts w:eastAsia="Calibri" w:cs="Times New Roman"/>
          <w:strike/>
          <w:color w:val="auto"/>
        </w:rPr>
      </w:pPr>
      <w:r w:rsidRPr="00D43600">
        <w:rPr>
          <w:rFonts w:eastAsia="Calibri" w:cs="Times New Roman"/>
          <w:strike/>
          <w:color w:val="auto"/>
        </w:rPr>
        <w:t>(e) Any cause of action brought pursuant to this section shall be brought either in the circuit court of the county in which the alleged injury occurred or the circuit court of the county of the employer</w:t>
      </w:r>
      <w:r w:rsidRPr="00D43600">
        <w:rPr>
          <w:rFonts w:eastAsia="Calibri" w:cs="Times New Roman"/>
          <w:strike/>
          <w:color w:val="auto"/>
        </w:rPr>
        <w:sym w:font="Arial" w:char="0027"/>
      </w:r>
      <w:r w:rsidRPr="00D43600">
        <w:rPr>
          <w:rFonts w:eastAsia="Calibri" w:cs="Times New Roman"/>
          <w:strike/>
          <w:color w:val="auto"/>
        </w:rPr>
        <w:t>s principal place of business. With respect to causes of action arising under this chapter, the venue provisions of this section shall be exclusive of and shall supersede the venue provisions of any other West Virginia statute or rule.</w:t>
      </w:r>
    </w:p>
    <w:p w14:paraId="7A084B65" w14:textId="781F42C2" w:rsidR="00F66296" w:rsidRPr="00D43600" w:rsidRDefault="00F66296" w:rsidP="00F66296">
      <w:pPr>
        <w:widowControl w:val="0"/>
        <w:ind w:firstLine="720"/>
        <w:jc w:val="both"/>
        <w:rPr>
          <w:rFonts w:eastAsia="Calibri" w:cs="Times New Roman"/>
          <w:color w:val="auto"/>
        </w:rPr>
      </w:pPr>
      <w:bookmarkStart w:id="1" w:name="_Hlk66263839"/>
      <w:r w:rsidRPr="00D43600">
        <w:rPr>
          <w:rFonts w:eastAsia="Calibri" w:cs="Times New Roman"/>
          <w:strike/>
          <w:color w:val="auto"/>
        </w:rPr>
        <w:t>(f)</w:t>
      </w:r>
      <w:r w:rsidR="0000738D" w:rsidRPr="00D43600">
        <w:rPr>
          <w:rFonts w:eastAsia="Calibri" w:cs="Times New Roman"/>
          <w:color w:val="auto"/>
        </w:rPr>
        <w:t xml:space="preserve"> </w:t>
      </w:r>
      <w:r w:rsidR="0000738D" w:rsidRPr="00D43600">
        <w:rPr>
          <w:rFonts w:eastAsia="Calibri" w:cs="Times New Roman"/>
          <w:color w:val="auto"/>
          <w:u w:val="single"/>
        </w:rPr>
        <w:t>(</w:t>
      </w:r>
      <w:r w:rsidR="00525662" w:rsidRPr="00D43600">
        <w:rPr>
          <w:rFonts w:eastAsia="Calibri" w:cs="Times New Roman"/>
          <w:color w:val="auto"/>
          <w:u w:val="single"/>
        </w:rPr>
        <w:t>e</w:t>
      </w:r>
      <w:r w:rsidR="0000738D" w:rsidRPr="00D43600">
        <w:rPr>
          <w:rFonts w:eastAsia="Calibri" w:cs="Times New Roman"/>
          <w:color w:val="auto"/>
          <w:u w:val="single"/>
        </w:rPr>
        <w:t>)</w:t>
      </w:r>
      <w:r w:rsidRPr="00D43600">
        <w:rPr>
          <w:rFonts w:eastAsia="Calibri" w:cs="Times New Roman"/>
          <w:color w:val="auto"/>
        </w:rPr>
        <w:t xml:space="preserve"> The reenactment of this section in the regular session of the Legislature during the year 2015 does not in any way affect the right of any person to bring an action with respect to or upon any caus</w:t>
      </w:r>
      <w:bookmarkStart w:id="2" w:name="a_GoBack"/>
      <w:bookmarkEnd w:id="2"/>
      <w:r w:rsidRPr="00D43600">
        <w:rPr>
          <w:rFonts w:eastAsia="Calibri" w:cs="Times New Roman"/>
          <w:color w:val="auto"/>
        </w:rPr>
        <w:t>e of action which arose or accrued prior to the effective date of the reenactment.</w:t>
      </w:r>
    </w:p>
    <w:bookmarkEnd w:id="1"/>
    <w:p w14:paraId="698DB953" w14:textId="1738A97A" w:rsidR="008736AA" w:rsidRPr="00D43600" w:rsidRDefault="00F66296" w:rsidP="002C7D45">
      <w:pPr>
        <w:widowControl w:val="0"/>
        <w:ind w:firstLine="720"/>
        <w:jc w:val="both"/>
        <w:rPr>
          <w:color w:val="auto"/>
        </w:rPr>
      </w:pPr>
      <w:r w:rsidRPr="00D43600">
        <w:rPr>
          <w:rFonts w:eastAsia="Calibri" w:cs="Times New Roman"/>
          <w:strike/>
          <w:color w:val="auto"/>
        </w:rPr>
        <w:t>(g)</w:t>
      </w:r>
      <w:r w:rsidR="0000738D" w:rsidRPr="00D43600">
        <w:rPr>
          <w:rFonts w:eastAsia="Calibri" w:cs="Times New Roman"/>
          <w:color w:val="auto"/>
        </w:rPr>
        <w:t xml:space="preserve"> </w:t>
      </w:r>
      <w:r w:rsidR="0000738D" w:rsidRPr="00D43600">
        <w:rPr>
          <w:rFonts w:eastAsia="Calibri" w:cs="Times New Roman"/>
          <w:color w:val="auto"/>
          <w:u w:val="single"/>
        </w:rPr>
        <w:t>(</w:t>
      </w:r>
      <w:r w:rsidR="00525662" w:rsidRPr="00D43600">
        <w:rPr>
          <w:rFonts w:eastAsia="Calibri" w:cs="Times New Roman"/>
          <w:color w:val="auto"/>
          <w:u w:val="single"/>
        </w:rPr>
        <w:t>f</w:t>
      </w:r>
      <w:r w:rsidR="0000738D" w:rsidRPr="00D43600">
        <w:rPr>
          <w:rFonts w:eastAsia="Calibri" w:cs="Times New Roman"/>
          <w:color w:val="auto"/>
          <w:u w:val="single"/>
        </w:rPr>
        <w:t>)</w:t>
      </w:r>
      <w:r w:rsidRPr="00D43600">
        <w:rPr>
          <w:rFonts w:eastAsia="Calibri" w:cs="Times New Roman"/>
          <w:color w:val="auto"/>
        </w:rPr>
        <w:t xml:space="preserve"> The amendments to this section enacted during the 2015 session of the Legislature shall apply to all injuries occurring on or after July 1, 2015.</w:t>
      </w:r>
      <w:r w:rsidRPr="00D43600">
        <w:rPr>
          <w:color w:val="auto"/>
        </w:rPr>
        <w:t xml:space="preserve"> </w:t>
      </w:r>
    </w:p>
    <w:p w14:paraId="7D0B83B5" w14:textId="77777777" w:rsidR="00C33014" w:rsidRPr="00D43600" w:rsidRDefault="00C33014" w:rsidP="00CC1F3B">
      <w:pPr>
        <w:pStyle w:val="Note"/>
        <w:rPr>
          <w:color w:val="auto"/>
        </w:rPr>
      </w:pPr>
    </w:p>
    <w:p w14:paraId="3DC8BFCC" w14:textId="0365070D" w:rsidR="006865E9" w:rsidRPr="00D43600" w:rsidRDefault="00CF1DCA" w:rsidP="00CC1F3B">
      <w:pPr>
        <w:pStyle w:val="Note"/>
        <w:rPr>
          <w:color w:val="auto"/>
        </w:rPr>
      </w:pPr>
      <w:r w:rsidRPr="00D43600">
        <w:rPr>
          <w:color w:val="auto"/>
        </w:rPr>
        <w:t>NOTE: The</w:t>
      </w:r>
      <w:r w:rsidR="006865E9" w:rsidRPr="00D43600">
        <w:rPr>
          <w:color w:val="auto"/>
        </w:rPr>
        <w:t xml:space="preserve"> purpose of this bill is to </w:t>
      </w:r>
      <w:r w:rsidR="00F77F4C" w:rsidRPr="00D43600">
        <w:rPr>
          <w:color w:val="auto"/>
        </w:rPr>
        <w:t>eliminate the cause of action for deliberate intent.</w:t>
      </w:r>
    </w:p>
    <w:p w14:paraId="5972D77D" w14:textId="77777777" w:rsidR="006865E9" w:rsidRPr="00D43600" w:rsidRDefault="00AE48A0" w:rsidP="00CC1F3B">
      <w:pPr>
        <w:pStyle w:val="Note"/>
        <w:rPr>
          <w:color w:val="auto"/>
        </w:rPr>
      </w:pPr>
      <w:r w:rsidRPr="00D43600">
        <w:rPr>
          <w:color w:val="auto"/>
        </w:rPr>
        <w:t>Strike-throughs indicate language that would be stricken from a heading or the present law and underscoring indicates new language that would be added.</w:t>
      </w:r>
    </w:p>
    <w:sectPr w:rsidR="006865E9" w:rsidRPr="00D43600"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766AE" w14:textId="77777777" w:rsidR="00780DEC" w:rsidRPr="00B844FE" w:rsidRDefault="00780DEC" w:rsidP="00B844FE">
      <w:r>
        <w:separator/>
      </w:r>
    </w:p>
  </w:endnote>
  <w:endnote w:type="continuationSeparator" w:id="0">
    <w:p w14:paraId="29D9AD1E" w14:textId="77777777" w:rsidR="00780DEC" w:rsidRPr="00B844FE" w:rsidRDefault="00780D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87626"/>
      <w:docPartObj>
        <w:docPartGallery w:val="Page Numbers (Bottom of Page)"/>
        <w:docPartUnique/>
      </w:docPartObj>
    </w:sdtPr>
    <w:sdtEndPr>
      <w:rPr>
        <w:noProof/>
      </w:rPr>
    </w:sdtEndPr>
    <w:sdtContent>
      <w:p w14:paraId="4E8835DE" w14:textId="1821BC2B" w:rsidR="002479C8" w:rsidRDefault="002479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36415" w14:textId="77777777" w:rsidR="0076482B" w:rsidRDefault="00764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03B25" w14:textId="77777777" w:rsidR="00780DEC" w:rsidRPr="00B844FE" w:rsidRDefault="00780DEC" w:rsidP="00B844FE">
      <w:r>
        <w:separator/>
      </w:r>
    </w:p>
  </w:footnote>
  <w:footnote w:type="continuationSeparator" w:id="0">
    <w:p w14:paraId="65D21C34" w14:textId="77777777" w:rsidR="00780DEC" w:rsidRPr="00B844FE" w:rsidRDefault="00780D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5BFD" w14:textId="2C492240" w:rsidR="0076482B" w:rsidRDefault="0076482B">
    <w:pPr>
      <w:pStyle w:val="Header"/>
    </w:pPr>
    <w:r>
      <w:t>Intr HB</w:t>
    </w:r>
    <w:r>
      <w:tab/>
    </w:r>
    <w:r>
      <w:tab/>
      <w:t>2021R3322</w:t>
    </w:r>
    <w:r w:rsidR="009C7842">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41DC" w14:textId="41BE5209" w:rsidR="0076482B" w:rsidRDefault="002479C8">
    <w:pPr>
      <w:pStyle w:val="Header"/>
    </w:pPr>
    <w:r>
      <w:tab/>
    </w:r>
    <w:r>
      <w:tab/>
      <w:t>2021R3322</w:t>
    </w:r>
    <w:r w:rsidR="009C7842">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47B0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523D593" w:rsidR="00C33014" w:rsidRPr="00C33014" w:rsidRDefault="00AE48A0" w:rsidP="000573A9">
    <w:pPr>
      <w:pStyle w:val="HeaderStyle"/>
    </w:pPr>
    <w:r>
      <w:t>I</w:t>
    </w:r>
    <w:r w:rsidR="001A66B7">
      <w:t xml:space="preserve">ntr </w:t>
    </w:r>
    <w:sdt>
      <w:sdtPr>
        <w:tag w:val="BNumWH"/>
        <w:id w:val="138549797"/>
        <w:placeholder>
          <w:docPart w:val="D480F3FFE35A448FBBF4AD45F85154ED"/>
        </w:placeholder>
        <w:showingPlcHdr/>
        <w:text/>
      </w:sdtPr>
      <w:sdtEndPr/>
      <w:sdtContent/>
    </w:sdt>
    <w:r w:rsidR="007A5259">
      <w:t xml:space="preserve"> </w:t>
    </w:r>
    <w:r w:rsidR="002C7D45">
      <w:t>HB</w:t>
    </w:r>
    <w:r w:rsidR="00C33014" w:rsidRPr="002A0269">
      <w:ptab w:relativeTo="margin" w:alignment="center" w:leader="none"/>
    </w:r>
    <w:r w:rsidR="00C33014">
      <w:tab/>
    </w:r>
    <w:sdt>
      <w:sdtPr>
        <w:alias w:val="CBD Number"/>
        <w:tag w:val="CBD Number"/>
        <w:id w:val="1176923086"/>
        <w:lock w:val="sdtLocked"/>
        <w:text/>
      </w:sdtPr>
      <w:sdtEndPr/>
      <w:sdtContent>
        <w:r w:rsidR="002C7D45">
          <w:t>2021R3322</w:t>
        </w:r>
        <w:r w:rsidR="0044479B">
          <w:t>A</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37E4D1C" w:rsidR="002A0269" w:rsidRPr="002A0269" w:rsidRDefault="00447B0F" w:rsidP="00CC1F3B">
    <w:pPr>
      <w:pStyle w:val="HeaderStyle"/>
    </w:pPr>
    <w:sdt>
      <w:sdtPr>
        <w:tag w:val="BNumWH"/>
        <w:id w:val="-1890952866"/>
        <w:placeholder>
          <w:docPart w:val="EE6EABD0E3F944F6BDABF6A79834EE3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C7D45">
          <w:t>2021R3322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738D"/>
    <w:rsid w:val="000573A9"/>
    <w:rsid w:val="00085D22"/>
    <w:rsid w:val="000C5C77"/>
    <w:rsid w:val="000E3912"/>
    <w:rsid w:val="0010070F"/>
    <w:rsid w:val="001143CA"/>
    <w:rsid w:val="0015112E"/>
    <w:rsid w:val="001552E7"/>
    <w:rsid w:val="001566B4"/>
    <w:rsid w:val="001A66B7"/>
    <w:rsid w:val="001C279E"/>
    <w:rsid w:val="001D459E"/>
    <w:rsid w:val="002479C8"/>
    <w:rsid w:val="0027011C"/>
    <w:rsid w:val="00274200"/>
    <w:rsid w:val="00275740"/>
    <w:rsid w:val="002A0269"/>
    <w:rsid w:val="002C7D45"/>
    <w:rsid w:val="00303684"/>
    <w:rsid w:val="003054CF"/>
    <w:rsid w:val="003143F5"/>
    <w:rsid w:val="00314854"/>
    <w:rsid w:val="00394191"/>
    <w:rsid w:val="003C51CD"/>
    <w:rsid w:val="004368E0"/>
    <w:rsid w:val="00442044"/>
    <w:rsid w:val="0044479B"/>
    <w:rsid w:val="00447B0F"/>
    <w:rsid w:val="004C13DD"/>
    <w:rsid w:val="004E3441"/>
    <w:rsid w:val="00500579"/>
    <w:rsid w:val="00525662"/>
    <w:rsid w:val="005A5366"/>
    <w:rsid w:val="005D7E17"/>
    <w:rsid w:val="006210B7"/>
    <w:rsid w:val="006369EB"/>
    <w:rsid w:val="00637E73"/>
    <w:rsid w:val="00660F45"/>
    <w:rsid w:val="006865E9"/>
    <w:rsid w:val="00691F3E"/>
    <w:rsid w:val="00694BFB"/>
    <w:rsid w:val="006A106B"/>
    <w:rsid w:val="006C523D"/>
    <w:rsid w:val="006D1673"/>
    <w:rsid w:val="006D4036"/>
    <w:rsid w:val="0076482B"/>
    <w:rsid w:val="00780DEC"/>
    <w:rsid w:val="007A5259"/>
    <w:rsid w:val="007A7081"/>
    <w:rsid w:val="007F1CF5"/>
    <w:rsid w:val="007F29DD"/>
    <w:rsid w:val="00834EDE"/>
    <w:rsid w:val="008736AA"/>
    <w:rsid w:val="008D275D"/>
    <w:rsid w:val="00972BFC"/>
    <w:rsid w:val="00980327"/>
    <w:rsid w:val="00986478"/>
    <w:rsid w:val="009B5557"/>
    <w:rsid w:val="009B6B55"/>
    <w:rsid w:val="009C7842"/>
    <w:rsid w:val="009F1067"/>
    <w:rsid w:val="00A22D12"/>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006FA"/>
    <w:rsid w:val="00C33014"/>
    <w:rsid w:val="00C33434"/>
    <w:rsid w:val="00C34869"/>
    <w:rsid w:val="00C42EB6"/>
    <w:rsid w:val="00C50045"/>
    <w:rsid w:val="00C85096"/>
    <w:rsid w:val="00CB20EF"/>
    <w:rsid w:val="00CC1F3B"/>
    <w:rsid w:val="00CD12CB"/>
    <w:rsid w:val="00CD36CF"/>
    <w:rsid w:val="00CF1DCA"/>
    <w:rsid w:val="00D43600"/>
    <w:rsid w:val="00D579FC"/>
    <w:rsid w:val="00D81C16"/>
    <w:rsid w:val="00DE4BD8"/>
    <w:rsid w:val="00DE526B"/>
    <w:rsid w:val="00DF199D"/>
    <w:rsid w:val="00E01542"/>
    <w:rsid w:val="00E365F1"/>
    <w:rsid w:val="00E62EDA"/>
    <w:rsid w:val="00E62F48"/>
    <w:rsid w:val="00E831B3"/>
    <w:rsid w:val="00E95FBC"/>
    <w:rsid w:val="00EE70CB"/>
    <w:rsid w:val="00F41CA2"/>
    <w:rsid w:val="00F443C0"/>
    <w:rsid w:val="00F62EFB"/>
    <w:rsid w:val="00F66296"/>
    <w:rsid w:val="00F77F4C"/>
    <w:rsid w:val="00F90D9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9EA10CEF-E73A-43C1-8904-E2AB471F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480F3FFE35A448FBBF4AD45F85154ED"/>
        <w:category>
          <w:name w:val="General"/>
          <w:gallery w:val="placeholder"/>
        </w:category>
        <w:types>
          <w:type w:val="bbPlcHdr"/>
        </w:types>
        <w:behaviors>
          <w:behavior w:val="content"/>
        </w:behaviors>
        <w:guid w:val="{7A59D7DA-7448-47FA-BDD9-4BCD6CCB067E}"/>
      </w:docPartPr>
      <w:docPartBody>
        <w:p w:rsidR="00C0077C" w:rsidRDefault="00C0077C"/>
      </w:docPartBody>
    </w:docPart>
    <w:docPart>
      <w:docPartPr>
        <w:name w:val="EE6EABD0E3F944F6BDABF6A79834EE34"/>
        <w:category>
          <w:name w:val="General"/>
          <w:gallery w:val="placeholder"/>
        </w:category>
        <w:types>
          <w:type w:val="bbPlcHdr"/>
        </w:types>
        <w:behaviors>
          <w:behavior w:val="content"/>
        </w:behaviors>
        <w:guid w:val="{9B2A7FE2-CE9E-4692-84AE-E8B66E8A23A4}"/>
      </w:docPartPr>
      <w:docPartBody>
        <w:p w:rsidR="00C0077C" w:rsidRDefault="00C00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600CC"/>
    <w:rsid w:val="00852D52"/>
    <w:rsid w:val="00C0077C"/>
    <w:rsid w:val="00D2259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